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28" w:rsidRDefault="006D0628" w:rsidP="00B20FA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53535"/>
          <w:kern w:val="36"/>
          <w:sz w:val="39"/>
          <w:szCs w:val="39"/>
          <w:lang w:val="es-ES"/>
        </w:rPr>
      </w:pPr>
      <w:r>
        <w:rPr>
          <w:rFonts w:ascii="Arial" w:eastAsia="Times New Roman" w:hAnsi="Arial" w:cs="Arial"/>
          <w:b/>
          <w:bCs/>
          <w:color w:val="353535"/>
          <w:kern w:val="36"/>
          <w:sz w:val="39"/>
          <w:szCs w:val="39"/>
          <w:lang w:val="es-ES"/>
        </w:rPr>
        <w:t>P</w:t>
      </w:r>
      <w:r w:rsidRPr="006D0628">
        <w:rPr>
          <w:rFonts w:ascii="Arial" w:eastAsia="Times New Roman" w:hAnsi="Arial" w:cs="Arial"/>
          <w:b/>
          <w:bCs/>
          <w:color w:val="353535"/>
          <w:kern w:val="36"/>
          <w:sz w:val="39"/>
          <w:szCs w:val="39"/>
          <w:lang w:val="es-ES"/>
        </w:rPr>
        <w:t>rograma latinoamericano de</w:t>
      </w:r>
    </w:p>
    <w:p w:rsidR="006D0628" w:rsidRPr="006D0628" w:rsidRDefault="006D0628" w:rsidP="00B20FA7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53535"/>
          <w:kern w:val="36"/>
          <w:sz w:val="39"/>
          <w:szCs w:val="39"/>
          <w:lang w:val="es-ES"/>
        </w:rPr>
      </w:pPr>
      <w:r w:rsidRPr="006D0628">
        <w:rPr>
          <w:rFonts w:ascii="Arial" w:eastAsia="Times New Roman" w:hAnsi="Arial" w:cs="Arial"/>
          <w:b/>
          <w:bCs/>
          <w:color w:val="353535"/>
          <w:kern w:val="36"/>
          <w:sz w:val="39"/>
          <w:szCs w:val="39"/>
          <w:lang w:val="es-ES"/>
        </w:rPr>
        <w:t>cooperación científica Pepe Mujica</w:t>
      </w:r>
    </w:p>
    <w:p w:rsidR="006D0628" w:rsidRPr="006D0628" w:rsidRDefault="006D0628" w:rsidP="006D062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D3D3D"/>
          <w:sz w:val="20"/>
          <w:szCs w:val="20"/>
          <w:lang w:val="es-ES"/>
        </w:rPr>
      </w:pPr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El miércoles 28 de enero, se present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>ó</w:t>
      </w:r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 el Programa de Cooperación Latinoamericana y Caribeña de Ciencia y Tecnología – Pepe Mujica. La propuesta es una iniciativa del Consejo Nacional de Desarrollo Científico y Tecnológico (</w:t>
      </w:r>
      <w:proofErr w:type="spellStart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CNPq</w:t>
      </w:r>
      <w:proofErr w:type="spellEnd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) del Ministerio de Ciencia, </w:t>
      </w:r>
      <w:proofErr w:type="spellStart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Tecnologia</w:t>
      </w:r>
      <w:proofErr w:type="spellEnd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 e Innovación de Brasil, con la participación de la Asociación de Universidades del Grupo Montevideo (AUGM).</w:t>
      </w:r>
    </w:p>
    <w:p w:rsidR="006D0628" w:rsidRPr="006D0628" w:rsidRDefault="006D0628" w:rsidP="006D06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D3D3D"/>
          <w:sz w:val="20"/>
          <w:szCs w:val="20"/>
          <w:lang w:val="es-ES"/>
        </w:rPr>
      </w:pPr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El programa surge a partir de encuentros entre rectores y rectoras de universidades de AUGM y representantes del gobierno brasilero (a través del </w:t>
      </w:r>
      <w:proofErr w:type="spellStart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CNPq</w:t>
      </w:r>
      <w:proofErr w:type="spellEnd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 y CAPES) que en 2023 comenzaron a explorar la posibilidad de generar herramientas de internacionalización de la investigación y la formación de posgrado. De esos encuentros </w:t>
      </w:r>
      <w:proofErr w:type="spellStart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participóel</w:t>
      </w:r>
      <w:proofErr w:type="spellEnd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 expresidente uruguayo José «Pepe» Mujica, de quien esta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 xml:space="preserve"> </w:t>
      </w:r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 xml:space="preserve">propuesta recoge sus propias inquietudes y miradas regionales, que son compartidas por el </w:t>
      </w:r>
      <w:proofErr w:type="spellStart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CNPq</w:t>
      </w:r>
      <w:proofErr w:type="spellEnd"/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.</w:t>
      </w:r>
    </w:p>
    <w:p w:rsidR="006D0628" w:rsidRPr="006D0628" w:rsidRDefault="006D0628" w:rsidP="006D06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D3D3D"/>
          <w:sz w:val="20"/>
          <w:szCs w:val="20"/>
          <w:lang w:val="es-ES"/>
        </w:rPr>
      </w:pPr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Financiado por el gobierno de Brasil, que aportará aproximadamente 50 millones de reales a distintos proyectos entre 2026 y 2030, el programa busca establecer redes de intercambio de conocimiento y de formación científica en la región, y fortalecer las capacidades técnicas y de infraestructura en los siguientes ejes temáticos:</w:t>
      </w:r>
    </w:p>
    <w:p w:rsidR="006D0628" w:rsidRPr="002417BB" w:rsidRDefault="006D0628" w:rsidP="002417BB">
      <w:pPr>
        <w:pStyle w:val="Prrafodelista"/>
        <w:numPr>
          <w:ilvl w:val="0"/>
          <w:numId w:val="1"/>
        </w:numPr>
        <w:shd w:val="clear" w:color="auto" w:fill="FFFFFF"/>
        <w:spacing w:after="300" w:line="240" w:lineRule="auto"/>
        <w:ind w:left="0" w:firstLine="0"/>
        <w:jc w:val="both"/>
        <w:textAlignment w:val="baseline"/>
        <w:rPr>
          <w:rFonts w:eastAsia="Times New Roman" w:cstheme="minorHAnsi"/>
          <w:color w:val="3D3D3D"/>
          <w:sz w:val="20"/>
          <w:szCs w:val="20"/>
          <w:lang w:val="es-ES"/>
        </w:rPr>
      </w:pPr>
      <w:r w:rsidRPr="002417BB">
        <w:rPr>
          <w:rFonts w:eastAsia="Times New Roman" w:cstheme="minorHAnsi"/>
          <w:b/>
          <w:color w:val="3D3D3D"/>
          <w:sz w:val="20"/>
          <w:szCs w:val="20"/>
          <w:lang w:val="es-ES"/>
        </w:rPr>
        <w:t>Ambiente y sustentabilidad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>: Cambio climático, conservación de la biodiversidad, gestión de recursos hídricos, energías renovables y economía circular;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br/>
      </w:r>
      <w:r w:rsidRPr="002417BB">
        <w:rPr>
          <w:rFonts w:eastAsia="Times New Roman" w:cstheme="minorHAnsi"/>
          <w:b/>
          <w:color w:val="3D3D3D"/>
          <w:sz w:val="20"/>
          <w:szCs w:val="20"/>
          <w:lang w:val="es-ES"/>
        </w:rPr>
        <w:t>b) Alimentación y agricultura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 xml:space="preserve">: Seguridad alimentaria, agricultura sostenible, biotecnología agrícola, sistemas alimentarios </w:t>
      </w:r>
      <w:proofErr w:type="spellStart"/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>resilientes</w:t>
      </w:r>
      <w:proofErr w:type="spellEnd"/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 xml:space="preserve"> y el combate al hambre;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br/>
      </w:r>
      <w:r w:rsidRPr="002417BB">
        <w:rPr>
          <w:rFonts w:eastAsia="Times New Roman" w:cstheme="minorHAnsi"/>
          <w:b/>
          <w:color w:val="3D3D3D"/>
          <w:sz w:val="20"/>
          <w:szCs w:val="20"/>
          <w:lang w:val="es-ES"/>
        </w:rPr>
        <w:t>c) Energía y minería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>: Transición energética, minería sustentable, eficiencia energética y desarrollo de tecnologías limpias.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br/>
      </w:r>
      <w:r w:rsidRPr="002417BB">
        <w:rPr>
          <w:rFonts w:eastAsia="Times New Roman" w:cstheme="minorHAnsi"/>
          <w:b/>
          <w:color w:val="3D3D3D"/>
          <w:sz w:val="20"/>
          <w:szCs w:val="20"/>
          <w:lang w:val="es-ES"/>
        </w:rPr>
        <w:t>d) Salud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 xml:space="preserve">: Enfermedades tropicales desatendidas, medicina tropical, desarrollo de vacunas y medicamentos, sistemas de salud </w:t>
      </w:r>
      <w:proofErr w:type="spellStart"/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>resilientes</w:t>
      </w:r>
      <w:proofErr w:type="spellEnd"/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 xml:space="preserve"> y medicina personalizada;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br/>
      </w:r>
      <w:r w:rsidRPr="002417BB">
        <w:rPr>
          <w:rFonts w:eastAsia="Times New Roman" w:cstheme="minorHAnsi"/>
          <w:b/>
          <w:color w:val="3D3D3D"/>
          <w:sz w:val="20"/>
          <w:szCs w:val="20"/>
          <w:lang w:val="es-ES"/>
        </w:rPr>
        <w:t>e) Tecnologías de la información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>: Inteligencia artificial, ciudades inteligentes, inclusión digital, ciberseguridad y transformación digital;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br/>
      </w:r>
      <w:r w:rsidRPr="002417BB">
        <w:rPr>
          <w:rFonts w:eastAsia="Times New Roman" w:cstheme="minorHAnsi"/>
          <w:b/>
          <w:color w:val="3D3D3D"/>
          <w:sz w:val="20"/>
          <w:szCs w:val="20"/>
          <w:lang w:val="es-ES"/>
        </w:rPr>
        <w:t>f) Ciencias humanas y sociales</w:t>
      </w:r>
      <w:r w:rsidRPr="002417BB">
        <w:rPr>
          <w:rFonts w:eastAsia="Times New Roman" w:cstheme="minorHAnsi"/>
          <w:color w:val="3D3D3D"/>
          <w:sz w:val="20"/>
          <w:szCs w:val="20"/>
          <w:lang w:val="es-ES"/>
        </w:rPr>
        <w:t xml:space="preserve"> con énfasis en estudios focalizados en la región latinoamericana y caribeña que aborden los procesos sociales, históricos, educativos, culturales y políticos que modelan la región, con énfasis en temas como desigualdades sociales, migraciones, dinámicas ambientales y la producción de conocimiento.</w:t>
      </w:r>
      <w:bookmarkStart w:id="0" w:name="_GoBack"/>
      <w:bookmarkEnd w:id="0"/>
    </w:p>
    <w:p w:rsidR="002417BB" w:rsidRPr="002417BB" w:rsidRDefault="002417BB" w:rsidP="002417BB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D3D3D"/>
          <w:sz w:val="20"/>
          <w:szCs w:val="20"/>
          <w:lang w:val="es-ES"/>
        </w:rPr>
      </w:pPr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El 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programa </w:t>
      </w:r>
      <w:proofErr w:type="spellStart"/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disponibili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lizar</w:t>
      </w:r>
      <w:r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á</w:t>
      </w:r>
      <w:proofErr w:type="spellEnd"/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 un valor global de R$ 50.000.000,00 (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aprox. USD10 </w:t>
      </w:r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millones de </w:t>
      </w:r>
      <w:proofErr w:type="spellStart"/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dolares</w:t>
      </w:r>
      <w:proofErr w:type="spellEnd"/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) provenientes del FNDCT, distribuidos equitativamente entre becas y costos de operación. Las propuestas pueden optar por dos modalidades de financiación: Redes Temáticas de Investigación (hasta R$ 1.500.000,00 por proyecto) o Proyectos Colaborativos Bilaterales (hasta R$ 400.000,00 por proyecto). En cuanto al calendario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 y apertura del l</w:t>
      </w:r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la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mado</w:t>
      </w:r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 para la presentación de propuestas 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se están ultimando detalles que se difundirán ni bien estén disponibles. Es importante comentar que el llamado tendrá y </w:t>
      </w:r>
      <w:proofErr w:type="spellStart"/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establece</w:t>
      </w:r>
      <w:r w:rsidRPr="002417BB">
        <w:rPr>
          <w:rStyle w:val="gmaildefault"/>
          <w:rFonts w:cstheme="minorHAnsi"/>
          <w:color w:val="222222"/>
          <w:sz w:val="20"/>
          <w:szCs w:val="20"/>
          <w:shd w:val="clear" w:color="auto" w:fill="FFFFFF"/>
          <w:lang w:val="es-ES"/>
        </w:rPr>
        <w:t>ra</w:t>
      </w:r>
      <w:proofErr w:type="spellEnd"/>
      <w:r w:rsidRPr="002417BB">
        <w:rPr>
          <w:rFonts w:cstheme="minorHAnsi"/>
          <w:color w:val="222222"/>
          <w:sz w:val="20"/>
          <w:szCs w:val="20"/>
          <w:shd w:val="clear" w:color="auto" w:fill="FFFFFF"/>
          <w:lang w:val="es-ES"/>
        </w:rPr>
        <w:t> cuotas de financiación, destinando un mínimo del 10% de los recursos a proyectos que involucren a la Asociación de Universidades del Grupo de Montevideo (AUGM) y un 30% a instituciones de las regiones Norte, Nordeste y Centro-Oeste de Brasil.</w:t>
      </w:r>
    </w:p>
    <w:p w:rsidR="006D0628" w:rsidRPr="006D0628" w:rsidRDefault="006D0628" w:rsidP="006D0628">
      <w:pPr>
        <w:shd w:val="clear" w:color="auto" w:fill="FFFFFF"/>
        <w:spacing w:after="300" w:line="240" w:lineRule="auto"/>
        <w:jc w:val="both"/>
        <w:textAlignment w:val="baseline"/>
        <w:rPr>
          <w:rFonts w:eastAsia="Times New Roman" w:cstheme="minorHAnsi"/>
          <w:color w:val="3D3D3D"/>
          <w:sz w:val="20"/>
          <w:szCs w:val="20"/>
          <w:lang w:val="es-ES"/>
        </w:rPr>
      </w:pPr>
      <w:r w:rsidRPr="006D0628">
        <w:rPr>
          <w:rFonts w:eastAsia="Times New Roman" w:cstheme="minorHAnsi"/>
          <w:color w:val="3D3D3D"/>
          <w:sz w:val="20"/>
          <w:szCs w:val="20"/>
          <w:lang w:val="es-ES"/>
        </w:rPr>
        <w:t>El programa ponderará a las universidades no brasileras integrantes de AUGM que postulan proyectos en conjunto con universidades de Brasil, reservando un 10 por ciento del cupo de los proyectos para estas instituciones.</w:t>
      </w:r>
    </w:p>
    <w:p w:rsidR="006D0628" w:rsidRPr="006D0628" w:rsidRDefault="006D0628" w:rsidP="006D06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color w:val="3D3D3D"/>
          <w:sz w:val="21"/>
          <w:szCs w:val="21"/>
          <w:lang w:val="es-ES"/>
        </w:rPr>
      </w:pPr>
      <w:r w:rsidRPr="006D0628">
        <w:rPr>
          <w:rFonts w:ascii="inherit" w:eastAsia="Times New Roman" w:hAnsi="inherit" w:cs="Arial"/>
          <w:b/>
          <w:color w:val="3D3D3D"/>
          <w:sz w:val="21"/>
          <w:szCs w:val="21"/>
          <w:lang w:val="es-ES"/>
        </w:rPr>
        <w:t>Acceder al llamado abierto: </w:t>
      </w:r>
      <w:hyperlink r:id="rId7" w:history="1">
        <w:r w:rsidRPr="006D0628">
          <w:rPr>
            <w:rFonts w:ascii="inherit" w:eastAsia="Times New Roman" w:hAnsi="inherit" w:cs="Arial"/>
            <w:b/>
            <w:color w:val="999999"/>
            <w:sz w:val="21"/>
            <w:szCs w:val="21"/>
            <w:u w:val="single"/>
            <w:bdr w:val="none" w:sz="0" w:space="0" w:color="auto" w:frame="1"/>
            <w:lang w:val="es-ES"/>
          </w:rPr>
          <w:t xml:space="preserve">Chamada Pública </w:t>
        </w:r>
        <w:proofErr w:type="spellStart"/>
        <w:r w:rsidRPr="006D0628">
          <w:rPr>
            <w:rFonts w:ascii="inherit" w:eastAsia="Times New Roman" w:hAnsi="inherit" w:cs="Arial"/>
            <w:b/>
            <w:color w:val="999999"/>
            <w:sz w:val="21"/>
            <w:szCs w:val="21"/>
            <w:u w:val="single"/>
            <w:bdr w:val="none" w:sz="0" w:space="0" w:color="auto" w:frame="1"/>
            <w:lang w:val="es-ES"/>
          </w:rPr>
          <w:t>MCTI_CNPq</w:t>
        </w:r>
        <w:proofErr w:type="spellEnd"/>
        <w:r w:rsidRPr="006D0628">
          <w:rPr>
            <w:rFonts w:ascii="inherit" w:eastAsia="Times New Roman" w:hAnsi="inherit" w:cs="Arial"/>
            <w:b/>
            <w:color w:val="999999"/>
            <w:sz w:val="21"/>
            <w:szCs w:val="21"/>
            <w:u w:val="single"/>
            <w:bdr w:val="none" w:sz="0" w:space="0" w:color="auto" w:frame="1"/>
            <w:lang w:val="es-ES"/>
          </w:rPr>
          <w:t xml:space="preserve"> 02_2026 PROSUL Pepe Mujica</w:t>
        </w:r>
      </w:hyperlink>
    </w:p>
    <w:p w:rsidR="00413648" w:rsidRPr="006D0628" w:rsidRDefault="00413648">
      <w:pPr>
        <w:rPr>
          <w:lang w:val="es-ES"/>
        </w:rPr>
      </w:pPr>
    </w:p>
    <w:sectPr w:rsidR="00413648" w:rsidRPr="006D0628" w:rsidSect="00B20FA7">
      <w:headerReference w:type="default" r:id="rId8"/>
      <w:pgSz w:w="12240" w:h="15840"/>
      <w:pgMar w:top="237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7E" w:rsidRDefault="00AE177E" w:rsidP="002417BB">
      <w:pPr>
        <w:spacing w:after="0" w:line="240" w:lineRule="auto"/>
      </w:pPr>
      <w:r>
        <w:separator/>
      </w:r>
    </w:p>
  </w:endnote>
  <w:endnote w:type="continuationSeparator" w:id="0">
    <w:p w:rsidR="00AE177E" w:rsidRDefault="00AE177E" w:rsidP="0024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7E" w:rsidRDefault="00AE177E" w:rsidP="002417BB">
      <w:pPr>
        <w:spacing w:after="0" w:line="240" w:lineRule="auto"/>
      </w:pPr>
      <w:r>
        <w:separator/>
      </w:r>
    </w:p>
  </w:footnote>
  <w:footnote w:type="continuationSeparator" w:id="0">
    <w:p w:rsidR="00AE177E" w:rsidRDefault="00AE177E" w:rsidP="0024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BB" w:rsidRDefault="002417B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2044065</wp:posOffset>
          </wp:positionH>
          <wp:positionV relativeFrom="paragraph">
            <wp:posOffset>-135255</wp:posOffset>
          </wp:positionV>
          <wp:extent cx="1266825" cy="1152525"/>
          <wp:effectExtent l="0" t="0" r="9525" b="9525"/>
          <wp:wrapThrough wrapText="bothSides">
            <wp:wrapPolygon edited="0">
              <wp:start x="0" y="0"/>
              <wp:lineTo x="0" y="21421"/>
              <wp:lineTo x="21438" y="21421"/>
              <wp:lineTo x="21438" y="0"/>
              <wp:lineTo x="0" y="0"/>
            </wp:wrapPolygon>
          </wp:wrapThrough>
          <wp:docPr id="21" name="Imagen 21" descr="logo-augm – Sitio Oficial Facultad de Filosofía y Letra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ugm – Sitio Oficial Facultad de Filosofía y Letras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6A1"/>
    <w:multiLevelType w:val="hybridMultilevel"/>
    <w:tmpl w:val="74CE80AA"/>
    <w:lvl w:ilvl="0" w:tplc="D7569B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28"/>
    <w:rsid w:val="002417BB"/>
    <w:rsid w:val="00413648"/>
    <w:rsid w:val="006D0628"/>
    <w:rsid w:val="00AE177E"/>
    <w:rsid w:val="00B2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0B6E5"/>
  <w15:chartTrackingRefBased/>
  <w15:docId w15:val="{D00F8A85-BBA2-4D62-B23B-8FB8786B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7BB"/>
    <w:pPr>
      <w:ind w:left="720"/>
      <w:contextualSpacing/>
    </w:pPr>
  </w:style>
  <w:style w:type="character" w:customStyle="1" w:styleId="gmaildefault">
    <w:name w:val="gmail_default"/>
    <w:basedOn w:val="Fuentedeprrafopredeter"/>
    <w:rsid w:val="002417BB"/>
  </w:style>
  <w:style w:type="paragraph" w:styleId="Encabezado">
    <w:name w:val="header"/>
    <w:basedOn w:val="Normal"/>
    <w:link w:val="EncabezadoCar"/>
    <w:uiPriority w:val="99"/>
    <w:unhideWhenUsed/>
    <w:rsid w:val="00241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BB"/>
  </w:style>
  <w:style w:type="paragraph" w:styleId="Piedepgina">
    <w:name w:val="footer"/>
    <w:basedOn w:val="Normal"/>
    <w:link w:val="PiedepginaCar"/>
    <w:uiPriority w:val="99"/>
    <w:unhideWhenUsed/>
    <w:rsid w:val="00241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39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upomontevideo.org/site/wp-content/uploads/2026/01/Chamada-P%C2%BFblica-MCTI_CNPq-N%C2%BF-02_2026-PROSUL-Pepe-Mujic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gsantamarina.unt@gmail.com</dc:creator>
  <cp:keywords/>
  <dc:description/>
  <cp:lastModifiedBy>gsantamarina.unt@gmail.com</cp:lastModifiedBy>
  <cp:revision>2</cp:revision>
  <dcterms:created xsi:type="dcterms:W3CDTF">2026-02-03T11:43:00Z</dcterms:created>
  <dcterms:modified xsi:type="dcterms:W3CDTF">2026-02-03T11:43:00Z</dcterms:modified>
</cp:coreProperties>
</file>